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 w:firstLine="567"/>
        <w:jc w:val="center"/>
        <w:rPr>
          <w:rFonts w:ascii="Arial Narrow" w:cs="Arial Narrow" w:eastAsia="Arial Narrow" w:hAnsi="Arial Narrow"/>
          <w:b w:val="1"/>
          <w:color w:val="07a9a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sz w:val="32"/>
          <w:szCs w:val="32"/>
          <w:rtl w:val="0"/>
        </w:rPr>
        <w:t xml:space="preserve">Семинар: «Тарифная политика и антимонопольный контроль в сфере обращения с твердыми коммунальными отходами»</w:t>
      </w:r>
    </w:p>
    <w:p w:rsidR="00000000" w:rsidDel="00000000" w:rsidP="00000000" w:rsidRDefault="00000000" w:rsidRPr="00000000" w14:paraId="00000002">
      <w:pPr>
        <w:spacing w:after="0" w:line="240" w:lineRule="auto"/>
        <w:ind w:left="-567" w:firstLine="567"/>
        <w:jc w:val="center"/>
        <w:rPr>
          <w:rFonts w:ascii="Arial Narrow" w:cs="Arial Narrow" w:eastAsia="Arial Narrow" w:hAnsi="Arial Narrow"/>
          <w:b w:val="1"/>
          <w:color w:val="d2aa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28"/>
          <w:szCs w:val="28"/>
          <w:rtl w:val="0"/>
        </w:rPr>
        <w:t xml:space="preserve">30 ноября 2018 г.</w:t>
      </w:r>
    </w:p>
    <w:p w:rsidR="00000000" w:rsidDel="00000000" w:rsidP="00000000" w:rsidRDefault="00000000" w:rsidRPr="00000000" w14:paraId="00000003">
      <w:pPr>
        <w:spacing w:after="0" w:line="240" w:lineRule="auto"/>
        <w:ind w:left="-567" w:firstLine="567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30 ноября 2018 года на площадке Аналитического центра при Правительстве Российской Федерации состоялся семинар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«Тарифная политика и антимонопольный контроль в сфере обращения с твердыми коммунальными отходами»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(далее – Семинар).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Организатором семинара выступила Ассоциация Комплаенс - менеджеров при участии представителей Аналитического центра при Правительстве Российской Федерации и ФАС России.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Открывая мероприятие с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Приветственным словом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к участникам Семинара обратился Председатель правления Ассоциации Комплаенс – менеджеров </w:t>
      </w:r>
      <w:r w:rsidDel="00000000" w:rsidR="00000000" w:rsidRPr="00000000">
        <w:rPr>
          <w:rFonts w:ascii="Arial Narrow" w:cs="Arial Narrow" w:eastAsia="Arial Narrow" w:hAnsi="Arial Narrow"/>
          <w:b w:val="1"/>
          <w:color w:val="e2b700"/>
          <w:sz w:val="32"/>
          <w:szCs w:val="32"/>
          <w:rtl w:val="0"/>
        </w:rPr>
        <w:t xml:space="preserve">Соловьев Вадим Владимирович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«Институт региональных операторов по обращению с ТКО является молодым и активно развивающимся. В субъектах Российской Федерации завершается отбор региональных операторов в сфере обращения с ТКО. В связи с изложенным, основные силы региональных операторов в сфере обращения с ТКО направлены на работу с органами власти, осуществляющими тарифное регулирование. При этом региональным операторам в сфере обращения с ТКО также необходимо вести параллельную работу, направленную на недопущение нарушения антимонопольного законодательства. В рамках сегодняшней встречи мы совместно с коллегами из Аналитического центра при Правительстве Российской Федерации и ФАС России расскажем об изменениях, которые внесены в антимонопольное законодательство и законодательство о государственном регулировании тарифов в области обращения с ТКО, расскажем о направлениях деятельности Ассоциации Комплаенс – менеджеров, а также о таком инструменте антимонопольного комплаенса, как внутрикорпоративная работа с обращениями и жалобами в сфере закупок. Надеюсь, что сегодняшнее мероприятие будет для участников семинара продуктивным и полезным.».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Начальник Управления регулирования в сфере жилищно-коммунального хозяйства ФАС России 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Матюхин Алексей Геннадьевич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рамках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сессии: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sz w:val="24"/>
          <w:szCs w:val="24"/>
          <w:rtl w:val="0"/>
        </w:rPr>
        <w:t xml:space="preserve">«Институт региональных операторов по обращению с ТКО. Предварительные итоги реформы: практика перехода регионов на новую систему обращения с ТКО. Параметры деятельности региональных операторов. Изменение договорных отношений после выбора региональных операторов. Антимонопольный контроль в сфере обращения с ТКО. Полномочия ФАС России.»</w:t>
      </w: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подвел предварительные итоги реформы перехода регионов на новую систему обращения с ТКО,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рассказал об изменениях и планируемых нововведениях в антимонопольное законодательство и законодательство и о государственном регулировании тарифов в сфере обращения с ТКО, а также об осуществляемых антимонопольным органом полномочиях в сфере обращения с ТКО. Также было отмечено активное участие Аналитического центра в обсуждении проблем в сфере обращения с ТКО.</w:t>
      </w:r>
    </w:p>
    <w:p w:rsidR="00000000" w:rsidDel="00000000" w:rsidP="00000000" w:rsidRDefault="00000000" w:rsidRPr="00000000" w14:paraId="00000008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своем выступлении, посвященному вопросам антимонопольного блока, докладчик обратил особое внимание на недопустимость нарушения региональными операторами в сфере обращения с ТКО: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статьи 10 Федерального закона от 26.07.2006 № 135-ФЗ «О защите конкуренции» (далее - Закона о защите конкуренции), устанавливающей запрет на злоупотребление хозяйствующим субъектом доминирующим положением (например, навязывание контрагенту условий договора, невыгодных для него или не относящихся к предмету договора; создание препятствий доступу на товарный рынок или выходу из товарного рынка другим хозяйствующим субъектам);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требований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утвержденных постановлением Правительства РФ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оператора», устанавливающих перечень случаев, обязывающих регионального оператора по обращению с ТКО проводить электронные аукционы на оказание услуг по транспортированию коммунальных отходов.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«Антимонопольный орган активно поддерживает отбор хозяйствующих субъектов посредством проведения конкурентных процедур, поскольку чем больше выделено лотов и проведено торгов, тем лучше для состояния конкуренции»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отметил докладчик.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продолжении выступления Матюхин А.Г. осветил основные предложения антимонопольного органа по внесению изменений в законодательство РФ, в частности: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законодательное закрепление доминирующего положения регионального оператора по обращению с ТКО на соответствующем рынке;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изменение сроков действия договоров, заключенных между региональными операторами и хозяйствующими субъектами, осуществляющими транспортирование ТКО;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обязать регионального оператора по обращению с ТКО проводить торги или получать публичные оферты о заключении договора, в случае поступления предложения на транспортирование ТКО по цене ниже, чем у хозяйствующего субъекта, с которым заключен договор на транспортирование ТКО;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проводить сравнительный анализ деятельности хозяйствующих субъектов, осуществляющих транспортирование ТКО, в частности оценивать стоимость вывоза, оценивать плечо доставки, в целях снижения затрат на транспортирование при установлении тарифа;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регламентирование принятия региональным оператором по обращению с ТКО права по снижению предельного тарифа.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сфере тарифного регулирования основные изменения планируется внести в Основы ценообразования в области обращения с твердыми коммунальными отходами, утверждённые постановлением Правительства РФ от 30.05.2016 № 484 и Методические указания по расчету регулируемых тарифов в области обращения с твердыми коммунальными отходами, утвержденные Приказом ФАС России от 21.11.2016 № 1638/16 (далее – Методические указания).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Указанные изменения в первую очередь направлены на экономические составляющие хозяйственной деятельности регионального оператора:</w:t>
      </w:r>
    </w:p>
    <w:p w:rsidR="00000000" w:rsidDel="00000000" w:rsidP="00000000" w:rsidRDefault="00000000" w:rsidRPr="00000000" w14:paraId="00000014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 экономическую обоснованность / целесообразность включения конкретных затрат;</w:t>
      </w:r>
    </w:p>
    <w:p w:rsidR="00000000" w:rsidDel="00000000" w:rsidP="00000000" w:rsidRDefault="00000000" w:rsidRPr="00000000" w14:paraId="00000015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 стимулирование регионального оператора экономии.</w:t>
      </w:r>
    </w:p>
    <w:p w:rsidR="00000000" w:rsidDel="00000000" w:rsidP="00000000" w:rsidRDefault="00000000" w:rsidRPr="00000000" w14:paraId="00000016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части затрат на транспортирование ТКО антимонопольный орган предлагает двигаться по пути эталонного формирования затрат.</w:t>
      </w:r>
    </w:p>
    <w:p w:rsidR="00000000" w:rsidDel="00000000" w:rsidP="00000000" w:rsidRDefault="00000000" w:rsidRPr="00000000" w14:paraId="00000017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Также докладчик обратил внимание участников семинара, что с 1 января 2019 года услуга по вывозу ТКО перейдет из статуса «жилищной» (то есть должна быть исключена управляющими компаниями из состава платы за содержание и ремонт жилья) в статус «коммунальной» и будет взиматься с каждого физического или юридического лица, исходя из единого тарифа и норматива накопления отходов.</w:t>
      </w:r>
    </w:p>
    <w:p w:rsidR="00000000" w:rsidDel="00000000" w:rsidP="00000000" w:rsidRDefault="00000000" w:rsidRPr="00000000" w14:paraId="00000018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С докладами </w:t>
      </w: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rtl w:val="0"/>
        </w:rPr>
        <w:t xml:space="preserve">«Антимонопольный комплаенс как способ предупреждения нарушений антимонопольного законодательства и законодательства в сфере закупок. Внутрикорпоративная работа с обращениями и жалобами в сфере закупок как инструмент антимонопольного комплаенса»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выступили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Председатель правления Ассоциации Комплаенс – менеджеров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Соловьев Вадим Владимирович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и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советник Управления корпоративных реформ и закупок Аналитического центра при Правительстве Российской Федерации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Митина Екатерина Александровна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Председатель правления Ассоциации комплаенс – менеджеров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Соловьев В.В.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рассказал участникам семинара о системе внутреннего обеспечения соответствия требованиям антимонопольного законодательства (антимонопольный комплаенс), преимуществах, которые получает хозяйствующий субъект от внедрения указанной системы, обратил внимание участников семинара на основные вопросы, которые возникают на этапах внедрения и функционирования антимонопольного комплаенса, а также рассказал об Ассоциации Комплаенс – менеджеров и основных направлениях ее деятельности.</w:t>
      </w:r>
    </w:p>
    <w:p w:rsidR="00000000" w:rsidDel="00000000" w:rsidP="00000000" w:rsidRDefault="00000000" w:rsidRPr="00000000" w14:paraId="0000001B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настоящее время законодательством РФ термин «Антимонопольный комплаенс» не закреплен, вместе с тем под антимонопольным комплексом понимается система внутреннего обеспечения соответствия требованиям антимонопольного законодательства, то есть совокупность правовых и организационных мер, предусмотренных внутренним актом и направленных на соблюдение требований антимонопольного законодательства и предупреждение его нарушений.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21.12.2017 Президент Российской Федерации В.В. Путин подписал Указ «Об основных направлениях государственной политики по развитию конкуренции», в соответствии с которым стимулирование хозяйствующих субъектов, внедряющих систему внутреннего обеспечения соответствия требованиям антимонопольного законодательства, определяется в качестве одного из основополагающих принципов государственной политики по развитию конкуренции </w:t>
      </w:r>
    </w:p>
    <w:p w:rsidR="00000000" w:rsidDel="00000000" w:rsidP="00000000" w:rsidRDefault="00000000" w:rsidRPr="00000000" w14:paraId="0000001D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Во исполнение Национального плана развития Конкуренции в РФ на 2018-2020 годы, утвержденного Указом Президента Российской Федерации от 21.12.2017 № 618, ФАС России разработаны проекты федеральных законов, предусматривающие внесение изменений в Закон о защите конкуренции и КоАП.</w:t>
      </w:r>
    </w:p>
    <w:p w:rsidR="00000000" w:rsidDel="00000000" w:rsidP="00000000" w:rsidRDefault="00000000" w:rsidRPr="00000000" w14:paraId="0000001E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Изменения, которые планируются внести в Закон о защите конкуренции предусматривают, в частности, введение понятия антимонопольного комплаенса, требований к содержанию внутренних актов хозяйствующих субъектов, внедряющих антимонопольный комплаенс, а также обязанности хозяйствующего субъекта доказывать эффективность функционирования системы антимонопольного комплаенса.</w:t>
      </w:r>
    </w:p>
    <w:p w:rsidR="00000000" w:rsidDel="00000000" w:rsidP="00000000" w:rsidRDefault="00000000" w:rsidRPr="00000000" w14:paraId="0000001F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Изменения, которые планируются внести в КоАП, предусматривают смягчение административной ответственности при условии, что нарушение антимонопольного законодательства обнаружено и прекращено на момент возбуждения дела об административном правонарушении в связи с реализацией мер антимонопольного комплаенса.</w:t>
      </w:r>
    </w:p>
    <w:p w:rsidR="00000000" w:rsidDel="00000000" w:rsidP="00000000" w:rsidRDefault="00000000" w:rsidRPr="00000000" w14:paraId="00000020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Вместе с тем, в настоящее время законодательством Российской Федерации предусмотрен Риск ориентированный подход в осуществлении государственного контроля за соблюдением антимонопольного законодательства (Постановление Правительства РФ от 01.03.2018 г. № 213), предусматривающий категорирование деятельности юридических лиц и индивидуальных предпринимателей и устанавливающий периодичность проведения плановых проверок в зависимости от присвоенной категории риска.</w:t>
      </w:r>
    </w:p>
    <w:p w:rsidR="00000000" w:rsidDel="00000000" w:rsidP="00000000" w:rsidRDefault="00000000" w:rsidRPr="00000000" w14:paraId="00000021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Одним из критериев, который влияет на «Понижение» категории риска, является функционирование в течение не менее одного года на день принятия решения о присвоении (изменении) категории риска системы внутреннего обеспечения соответствия требованиям антимонопольного законодательства.</w:t>
      </w:r>
    </w:p>
    <w:p w:rsidR="00000000" w:rsidDel="00000000" w:rsidP="00000000" w:rsidRDefault="00000000" w:rsidRPr="00000000" w14:paraId="00000022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На этапах внедрения и функционирования антимонопольного комплаенса у хозяйствующих субъектов возникает множество вопросов, начиная с определения порядка внедрения антимонопольного комплаенса, описания карты рисков и заканчивая определением критериев эффективности функционирования комплаенс – системы и порядком доказывания эффективности контролирующему органу.</w:t>
      </w:r>
    </w:p>
    <w:p w:rsidR="00000000" w:rsidDel="00000000" w:rsidP="00000000" w:rsidRDefault="00000000" w:rsidRPr="00000000" w14:paraId="00000023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целях объединения экспертов в области антимонопольного законодательства, построения передового опыта в области внедрения, развития и совершенствования инструментов предупреждения и снижения антимонопольных рисков, а также содействия членам АКМ в осуществлении мероприятий, направленных на совместное построение передового опыта в области внедрения, построения и совершенствования антимонопольных комплаенс – систем в начале 2018 года создана Ассоциация Комплаенс – менеджеров.</w:t>
      </w:r>
    </w:p>
    <w:p w:rsidR="00000000" w:rsidDel="00000000" w:rsidP="00000000" w:rsidRDefault="00000000" w:rsidRPr="00000000" w14:paraId="00000024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настоящее время АКМ заключила соглашения о сотрудничестве с Учебно – методическим центром ФАС России и Федеральным бюджетным учреждением «Информационно – технический центр ФАС России».</w:t>
      </w:r>
    </w:p>
    <w:p w:rsidR="00000000" w:rsidDel="00000000" w:rsidP="00000000" w:rsidRDefault="00000000" w:rsidRPr="00000000" w14:paraId="00000025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Также, в целях разработки стандарта модульной системы комплаенс – контроля соблюдения антимонопольного законодательства АКМ заключила договор с Национально-исследовательским университетом «Высшая школа экономики».</w:t>
      </w:r>
    </w:p>
    <w:p w:rsidR="00000000" w:rsidDel="00000000" w:rsidP="00000000" w:rsidRDefault="00000000" w:rsidRPr="00000000" w14:paraId="00000026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Указанный стандарт модульной системы комплаенс – контроля соблюдения антимонопольного законодательства должен включать 2 модуля – универсальный (который может применяться абсолютно всеми хозяйствующими субъектами, без привязки к отраслевой спецификации), и специальные блоки с учетом специфики отраслей.</w:t>
      </w:r>
    </w:p>
    <w:p w:rsidR="00000000" w:rsidDel="00000000" w:rsidP="00000000" w:rsidRDefault="00000000" w:rsidRPr="00000000" w14:paraId="00000027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29.08.2018 на площадке Аналитического центра при Правительстве Российской Федерации состоялась конференция - «Новый этап развития антимонопольного комплаенса в России».</w:t>
      </w:r>
    </w:p>
    <w:p w:rsidR="00000000" w:rsidDel="00000000" w:rsidP="00000000" w:rsidRDefault="00000000" w:rsidRPr="00000000" w14:paraId="00000028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По итогам конференции была подготовлена Резолюция, а также сформировалась инициативная группа из представителей компаний различных отраслей и экспертов, имеющих намерение проработать вопросы, содержащиеся в Резолюции.</w:t>
      </w:r>
    </w:p>
    <w:p w:rsidR="00000000" w:rsidDel="00000000" w:rsidP="00000000" w:rsidRDefault="00000000" w:rsidRPr="00000000" w14:paraId="00000029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10.10.2018 г. в Аналитическом центре при Правительстве РФ состоялось заседание рабочей группы: «Развитие законодательства в сфере антимонопольного комплаенса в закупках».</w:t>
      </w:r>
    </w:p>
    <w:p w:rsidR="00000000" w:rsidDel="00000000" w:rsidP="00000000" w:rsidRDefault="00000000" w:rsidRPr="00000000" w14:paraId="0000002A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По результатам заседания рабочей группы было принято решение: представить предложения по структуре и принципам построения блока антимонопольного комплаенса в закупках / отчуждении для разрабатываемого модельного комплаенса</w:t>
      </w:r>
    </w:p>
    <w:p w:rsidR="00000000" w:rsidDel="00000000" w:rsidP="00000000" w:rsidRDefault="00000000" w:rsidRPr="00000000" w14:paraId="0000002B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ближайшее время планируется проведения заседания второй рабочей группы по вопросам:</w:t>
      </w:r>
    </w:p>
    <w:p w:rsidR="00000000" w:rsidDel="00000000" w:rsidP="00000000" w:rsidRDefault="00000000" w:rsidRPr="00000000" w14:paraId="0000002C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 Формирование института антимонопольного комплаенс – контроля</w:t>
      </w:r>
    </w:p>
    <w:p w:rsidR="00000000" w:rsidDel="00000000" w:rsidP="00000000" w:rsidRDefault="00000000" w:rsidRPr="00000000" w14:paraId="0000002D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 Аудит комплаенс – систем</w:t>
      </w:r>
    </w:p>
    <w:p w:rsidR="00000000" w:rsidDel="00000000" w:rsidP="00000000" w:rsidRDefault="00000000" w:rsidRPr="00000000" w14:paraId="0000002E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Председатель правления пригласил всех желающих принять участие в деятельности указанной рабочей группы.</w:t>
      </w:r>
    </w:p>
    <w:p w:rsidR="00000000" w:rsidDel="00000000" w:rsidP="00000000" w:rsidRDefault="00000000" w:rsidRPr="00000000" w14:paraId="0000002F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С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докладом «Внутрикорпоративная работа с обращениями и жалобами в сфере закупок как инструмент антимонопольного комплаенса» выступила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советник Управления корпоративных реформ и закупок Аналитического центра при Правительстве Российской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Федерации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Митина Е.А.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в котором озвучила основные принципы и этапы построения антимонопольного комплаенса, рассказала о порядке работы органа досудебного урегулирования споров, привела неоспоримые аргументы в пользу создания такого органа, а также озвучила механизмы предотвращения нарушения антимонопольного законодательства и законодательства о закупках.</w:t>
      </w:r>
    </w:p>
    <w:p w:rsidR="00000000" w:rsidDel="00000000" w:rsidP="00000000" w:rsidRDefault="00000000" w:rsidRPr="00000000" w14:paraId="00000030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Начиная свое выступление, докладчик озвучил основные принципы построения антимонопольного комплаенса, к которым относится:</w:t>
      </w:r>
    </w:p>
    <w:p w:rsidR="00000000" w:rsidDel="00000000" w:rsidP="00000000" w:rsidRDefault="00000000" w:rsidRPr="00000000" w14:paraId="00000031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Свободная и честная конкуренция;</w:t>
      </w:r>
    </w:p>
    <w:p w:rsidR="00000000" w:rsidDel="00000000" w:rsidP="00000000" w:rsidRDefault="00000000" w:rsidRPr="00000000" w14:paraId="00000032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Соблюдение требований антимонопольного законодательства и должной осмотрительности;</w:t>
      </w:r>
    </w:p>
    <w:p w:rsidR="00000000" w:rsidDel="00000000" w:rsidP="00000000" w:rsidRDefault="00000000" w:rsidRPr="00000000" w14:paraId="00000033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Личная ответственность и неотвратимость наказания;</w:t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Непрерывность и совершенствование,</w:t>
      </w:r>
    </w:p>
    <w:p w:rsidR="00000000" w:rsidDel="00000000" w:rsidP="00000000" w:rsidRDefault="00000000" w:rsidRPr="00000000" w14:paraId="00000035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а также уточнила основные этапы построения системы внутреннего контроля:</w:t>
      </w:r>
    </w:p>
    <w:p w:rsidR="00000000" w:rsidDel="00000000" w:rsidP="00000000" w:rsidRDefault="00000000" w:rsidRPr="00000000" w14:paraId="00000036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1) принятие локального нормативного акта (антимонопольной политики);</w:t>
      </w:r>
    </w:p>
    <w:p w:rsidR="00000000" w:rsidDel="00000000" w:rsidP="00000000" w:rsidRDefault="00000000" w:rsidRPr="00000000" w14:paraId="00000037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2) построение карты рисков</w:t>
      </w:r>
    </w:p>
    <w:p w:rsidR="00000000" w:rsidDel="00000000" w:rsidP="00000000" w:rsidRDefault="00000000" w:rsidRPr="00000000" w14:paraId="00000038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3) определение ответственных лиц</w:t>
      </w:r>
    </w:p>
    <w:p w:rsidR="00000000" w:rsidDel="00000000" w:rsidP="00000000" w:rsidRDefault="00000000" w:rsidRPr="00000000" w14:paraId="00000039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4) осуществление процедуры по снижению и мониторинг контроля рисков </w:t>
      </w:r>
    </w:p>
    <w:p w:rsidR="00000000" w:rsidDel="00000000" w:rsidP="00000000" w:rsidRDefault="00000000" w:rsidRPr="00000000" w14:paraId="0000003A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5) обучение сотрудников.</w:t>
      </w:r>
    </w:p>
    <w:p w:rsidR="00000000" w:rsidDel="00000000" w:rsidP="00000000" w:rsidRDefault="00000000" w:rsidRPr="00000000" w14:paraId="0000003B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Докладчик в своем выступлении также дал рекомендации относительно механизмов, реализация которых будет способствовать снижению рисков нарушения антимонопольного законодательства и законодательства о закупках, в частности:</w:t>
      </w:r>
    </w:p>
    <w:p w:rsidR="00000000" w:rsidDel="00000000" w:rsidP="00000000" w:rsidRDefault="00000000" w:rsidRPr="00000000" w14:paraId="0000003C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Проработка маршрутов согласования бизнес-процессов.</w:t>
      </w:r>
    </w:p>
    <w:p w:rsidR="00000000" w:rsidDel="00000000" w:rsidP="00000000" w:rsidRDefault="00000000" w:rsidRPr="00000000" w14:paraId="0000003D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Плановые/внеплановые проверки закупочных процедур.</w:t>
      </w:r>
    </w:p>
    <w:p w:rsidR="00000000" w:rsidDel="00000000" w:rsidP="00000000" w:rsidRDefault="00000000" w:rsidRPr="00000000" w14:paraId="0000003E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Анализ статистики по проведенным закупкам.</w:t>
      </w:r>
    </w:p>
    <w:p w:rsidR="00000000" w:rsidDel="00000000" w:rsidP="00000000" w:rsidRDefault="00000000" w:rsidRPr="00000000" w14:paraId="0000003F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Институт досудебного урегулирования споров (служба работы с жалобами и обращениями по закупкам).</w:t>
      </w:r>
    </w:p>
    <w:p w:rsidR="00000000" w:rsidDel="00000000" w:rsidP="00000000" w:rsidRDefault="00000000" w:rsidRPr="00000000" w14:paraId="00000040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Непрерывное обновление методологии и ЛНА в соответствии с изменениями в законодательстве.</w:t>
      </w:r>
    </w:p>
    <w:p w:rsidR="00000000" w:rsidDel="00000000" w:rsidP="00000000" w:rsidRDefault="00000000" w:rsidRPr="00000000" w14:paraId="00000041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Уточняя порядок функционирования службы работы с жалобами и обращениями по закупкам спикером был описан следующий алгоритм действий службы работы с жалобами и обращениями по закупкам:</w:t>
      </w:r>
    </w:p>
    <w:p w:rsidR="00000000" w:rsidDel="00000000" w:rsidP="00000000" w:rsidRDefault="00000000" w:rsidRPr="00000000" w14:paraId="00000042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 При поступлении жалобы в первую очередь выносится предписание о приостановлении закупки;</w:t>
      </w:r>
    </w:p>
    <w:p w:rsidR="00000000" w:rsidDel="00000000" w:rsidP="00000000" w:rsidRDefault="00000000" w:rsidRPr="00000000" w14:paraId="00000043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 Рассматривается жалоба и соответствующий комплект документов; </w:t>
      </w:r>
    </w:p>
    <w:p w:rsidR="00000000" w:rsidDel="00000000" w:rsidP="00000000" w:rsidRDefault="00000000" w:rsidRPr="00000000" w14:paraId="00000044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3. Инициируется проведение внеплановой проверки;</w:t>
      </w:r>
    </w:p>
    <w:p w:rsidR="00000000" w:rsidDel="00000000" w:rsidP="00000000" w:rsidRDefault="00000000" w:rsidRPr="00000000" w14:paraId="00000045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4. Готовится заключение по результатам рассмотрения жалобы;</w:t>
      </w:r>
    </w:p>
    <w:p w:rsidR="00000000" w:rsidDel="00000000" w:rsidP="00000000" w:rsidRDefault="00000000" w:rsidRPr="00000000" w14:paraId="00000046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5. По результатам рассмотрения жалобы в случае выявления нарушений вносится предложение о проведении служебного расследования и применении мер ответственности;</w:t>
      </w:r>
    </w:p>
    <w:p w:rsidR="00000000" w:rsidDel="00000000" w:rsidP="00000000" w:rsidRDefault="00000000" w:rsidRPr="00000000" w14:paraId="00000047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6. По результатам рассмотрения жалобы при необходимости вносится предложения о внесении изменений в локальные нормативные акты компании;</w:t>
      </w:r>
    </w:p>
    <w:p w:rsidR="00000000" w:rsidDel="00000000" w:rsidP="00000000" w:rsidRDefault="00000000" w:rsidRPr="00000000" w14:paraId="00000048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целях мотивации хозяйствующих субъектов на создание органа досудебного урегулирования споров докладчиком были приведены следующие аргументы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внутренних компетенций (то есть возможность рассмотрения обращения не только на предмет соответствия процедуры, но и с учетом специфики деятельности);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0" w:firstLine="567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Срок рассмотрения (значительно короче, чем рассмотрение данной жалобы регулирующим органом);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0" w:firstLine="567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Возможность пресечения действий, приводящих к нарушению законодательства.</w:t>
      </w:r>
    </w:p>
    <w:p w:rsidR="00000000" w:rsidDel="00000000" w:rsidP="00000000" w:rsidRDefault="00000000" w:rsidRPr="00000000" w14:paraId="0000004C">
      <w:pPr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Заместитель начальника отдела тарифного регулирования Управления регулирования в сфере жилищно-коммунального хозяйства ФАС России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Токар Виктория Витальевна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в рамках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Сессии: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rtl w:val="0"/>
        </w:rPr>
        <w:t xml:space="preserve">«Ценообразование в сфере обращения с твердыми коммунальными отходами. Порядок расчета и утверждения предельных тарифов уполномоченными органами власти. Особенности регулирования деятельности регионального оператора.»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совместно с участниками семинара обсудила вопросы ценообразования в сфере обращения с твердыми коммунальными отходами, порядок расчета и утверждения предельных тарифов уполномоченными органами власти, а также рассказала об особенностях регулирования деятельности регионального оператора в сфере обращения с ТКО и поделилась позицией антимонопольного органа по спорным вопросам.</w:t>
      </w:r>
    </w:p>
    <w:p w:rsidR="00000000" w:rsidDel="00000000" w:rsidP="00000000" w:rsidRDefault="00000000" w:rsidRPr="00000000" w14:paraId="0000004D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Спикер рассказал участникам семинара об основных изменениях, которые были внесены в законодательство в сфере обращения с ТКО, в частности: </w:t>
      </w:r>
    </w:p>
    <w:p w:rsidR="00000000" w:rsidDel="00000000" w:rsidP="00000000" w:rsidRDefault="00000000" w:rsidRPr="00000000" w14:paraId="0000004E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1. В соответствии с изменениями, внесенными в Постановлением Правительства Российской Федерации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исключена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норма, согласно которой учитываемый при установлении тарифов размер НВОС ограничивался «нормативами и (или) лимитами на размещение твердых коммунальных отходов»;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Распределение отходов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по классам опасности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осуществляется исходя из данных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территориальной схемы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(при отсутствии данных – по факту с учетом динамики);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Предусматривается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сохранение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экономии у регулируемой организации, связанной со снижением фактических расходов на НВОС вследствие реализации мероприятий по утилизации, в том числе после обезвреживания ТКО.</w:t>
      </w:r>
    </w:p>
    <w:p w:rsidR="00000000" w:rsidDel="00000000" w:rsidP="00000000" w:rsidRDefault="00000000" w:rsidRPr="00000000" w14:paraId="00000052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2. В части обработки и захоронения ТКО одним оператором также была введена норма, в соответствии с которой в случае, если оператор, осуществляющий захоронение ТКО, осуществляет их обработку с использованием объектов обработки, принадлежащих ему на праве собственности или на ином законном основании,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u w:val="single"/>
          <w:rtl w:val="0"/>
        </w:rPr>
        <w:t xml:space="preserve">предельный тариф на обработку ТКО для такого оператора не устанавливается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 (ст. 24.8 89-ФЗ, п.2 ПП РФ № 867).</w:t>
      </w:r>
    </w:p>
    <w:p w:rsidR="00000000" w:rsidDel="00000000" w:rsidP="00000000" w:rsidRDefault="00000000" w:rsidRPr="00000000" w14:paraId="00000053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3. Для организаций, впервые представившей предложение об установлении тарифов, но уже реализовавшей мероприятия утвержденной инвестиционной программы, нормами Постановлением Правительства Российской Федерации от 25.07.2018 № 867 предусматривается расчет нормативной прибыли исходя из необходимости компенсации понесенных расходов.</w:t>
      </w:r>
    </w:p>
    <w:p w:rsidR="00000000" w:rsidDel="00000000" w:rsidP="00000000" w:rsidRDefault="00000000" w:rsidRPr="00000000" w14:paraId="00000054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При этом расходы на капитальные вложения учитываются в фактически понесенном размере, но не выше плановых значений, предусмотренных утвержденной инвестиционной программы.</w:t>
      </w:r>
    </w:p>
    <w:p w:rsidR="00000000" w:rsidDel="00000000" w:rsidP="00000000" w:rsidRDefault="00000000" w:rsidRPr="00000000" w14:paraId="00000055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1"/>
          <w:i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4. В Основы ценообразования были внесены изменения, которые ждали региональные операторы в области обращения с отходами, в части определения д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rtl w:val="0"/>
        </w:rPr>
        <w:t xml:space="preserve">опустимых случаев превышения конкурсного значения приведенной стоимости, в частности: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изменение законодательства, влияющее на изменение расходов регионального оператора (более 10 %);</w:t>
      </w:r>
    </w:p>
    <w:p w:rsidR="00000000" w:rsidDel="00000000" w:rsidP="00000000" w:rsidRDefault="00000000" w:rsidRPr="00000000" w14:paraId="00000057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2) корректировка территориальной схемы: изменение схемы потоков отходов, объема (массы) ТКО, а также строительство и реконструкция объектов, используемых для обращения с ТКО.</w:t>
      </w:r>
    </w:p>
    <w:p w:rsidR="00000000" w:rsidDel="00000000" w:rsidP="00000000" w:rsidRDefault="00000000" w:rsidRPr="00000000" w14:paraId="00000058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7a9a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своих выступлениях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Бутко Татьяна Викторовна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начальник отдела подготовки нормативных актов Управления регулирования в сфере жилищно-коммунального хозяйства ФАС России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и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32"/>
          <w:szCs w:val="32"/>
          <w:rtl w:val="0"/>
        </w:rPr>
        <w:t xml:space="preserve">Перфилова Екатерина Владимировна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советник Управления регулирования в сфере жилищно-коммунального хозяйства ФАС России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в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Сессии: </w:t>
      </w:r>
      <w:r w:rsidDel="00000000" w:rsidR="00000000" w:rsidRPr="00000000">
        <w:rPr>
          <w:rFonts w:ascii="Arial Narrow" w:cs="Arial Narrow" w:eastAsia="Arial Narrow" w:hAnsi="Arial Narrow"/>
          <w:b w:val="1"/>
          <w:color w:val="07a9a1"/>
          <w:rtl w:val="0"/>
        </w:rPr>
        <w:t xml:space="preserve">«Инвестиционные программы и концессионные соглашения в сфере обращения с твердыми коммунальными отходами. Раскрытие информации в сфере обращения с твердыми коммунальными отходами.»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рассмотрели основные вопросы, возникающие у региональных операторов в сфере обращения с ТКО и связанные с возможностью установления в концессии условия о долгосрочных параметрах регулирования, внесением изменений в концессионное соглашение и инвестиционную программу, рассказали об изменениях, которые внесены и планируется внести в законодательство Российской Федерации, а также рассмотрели вопросы, связанные с раскрытием информации в сфере обращения с ТКО.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В своем выступлении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24"/>
          <w:szCs w:val="24"/>
          <w:rtl w:val="0"/>
        </w:rPr>
        <w:t xml:space="preserve">Бутко Т.В.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отметила следующее: «Концессионное соглашение является правоустанавливающим документом, подтверждающим законное основание для владения и пользования в отношении объектов недвижимости, используемых для осуществления регулируемой деятельности (пп «а» п 8 Правил регулирования тарифов в сфере обращения с ТКО). </w:t>
      </w:r>
    </w:p>
    <w:p w:rsidR="00000000" w:rsidDel="00000000" w:rsidP="00000000" w:rsidRDefault="00000000" w:rsidRPr="00000000" w14:paraId="0000005A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В случае отсутствия указанного основания принятие решения об установлении цен (тарифов) регулирующими органами не представляется возможным. </w:t>
      </w:r>
    </w:p>
    <w:p w:rsidR="00000000" w:rsidDel="00000000" w:rsidP="00000000" w:rsidRDefault="00000000" w:rsidRPr="00000000" w14:paraId="0000005B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Кроме того, концессионное соглашение, признанное ничтожной сделкой, в соответствии с п. 1 ст. 166 ГК РФ, не может быть учтено при установлении тарифов в сфере обращения с ТКО.». </w:t>
      </w:r>
    </w:p>
    <w:p w:rsidR="00000000" w:rsidDel="00000000" w:rsidP="00000000" w:rsidRDefault="00000000" w:rsidRPr="00000000" w14:paraId="0000005C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По вопросу наличия возможности установления в концессионном соглашении условия о долгосрочных параметрах регулирования (ДПР) спикер пояснил, что такая возможность предусмотрена при условии: согласования ДПР с органом регулирования. При этом сложность заключается в том, что порядок согласования с органом регулирования ДПР в сфере обращения с твердыми коммунальными отходами законодательством Российской Федерации не установлен.</w:t>
      </w:r>
    </w:p>
    <w:p w:rsidR="00000000" w:rsidDel="00000000" w:rsidP="00000000" w:rsidRDefault="00000000" w:rsidRPr="00000000" w14:paraId="0000005D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Вместе с тем, Национальным планом развития конкуренции в РФ на 2018-2020 гг. предусмотрено совершенствование законодательства о концессионных соглашениях, в том числе посредством распространения особенностей, которые предусмотрены в сфере теплоснабжения и водоснабжения, на объекты ТКО. Таким образом, соответствующие подзаконные акты в сфере обращения с ТКО в скором времени будут дополнены соответствующими положениями.</w:t>
      </w:r>
    </w:p>
    <w:p w:rsidR="00000000" w:rsidDel="00000000" w:rsidP="00000000" w:rsidRDefault="00000000" w:rsidRPr="00000000" w14:paraId="0000005E">
      <w:pPr>
        <w:tabs>
          <w:tab w:val="left" w:pos="284"/>
        </w:tabs>
        <w:spacing w:after="0" w:line="240" w:lineRule="auto"/>
        <w:ind w:right="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В своем докладе спикер также обратил внимание участников семинара на факторы, являющиеся основанием для пересмотра ДПР, в частности: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вступившее в законную силу решение суда;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приобретение объектов, используемых для обработки, обезвреживания, захоронения ТКО, и (или) заключение концессии, соглашения ГЧП/МЧП или договора аренды;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присвоение статуса регионального оператора;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изменение в течение периода регулирования системы налогообложения регулируемой организации;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исполнение предписания федерального органа исполнительной власти в области государственного регулирования тарифов, предусмотренного пунктом 59 Основ от 30.04.2014 № 400 (в случае превышения фактического роста платы граждан за коммунальные услуги в среднем по субъекту РФ над индексом по субъекту РФ).</w:t>
      </w:r>
    </w:p>
    <w:p w:rsidR="00000000" w:rsidDel="00000000" w:rsidP="00000000" w:rsidRDefault="00000000" w:rsidRPr="00000000" w14:paraId="00000064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При этом тарифы также могут быть пересмотрены регулирующим органом по основаниям, предусмотренным для изменения ДПР.</w:t>
      </w:r>
    </w:p>
    <w:p w:rsidR="00000000" w:rsidDel="00000000" w:rsidP="00000000" w:rsidRDefault="00000000" w:rsidRPr="00000000" w14:paraId="00000065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Докладчик также рассказал об изменениях вносимых в законодательство РФ, регулирующее сферу обращения с ТКО, в частности: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Совершенствование Правил предоставления антимонопольным органом согласия на изменение условий концессионного соглашения, утвержденных ПП № 368 от 24.04.2014 (Правила № 368).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ФАС России разработала проект изменений в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 в целях приведения Правил предоставления антимонопольным органом согласия на изменение условий концессионного соглашения в соответствие с действующей редакцией Закона о концессионных соглашениях.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 предусматривает расширение перечня оснований, при наличии которых антимонопольный орган согласовывает изменения в концессионное соглашение, в том числе путем включения оснований, прямо предусмотренных Законом о концессионных соглашениях, а также актуализацию перечня информации и документов, которые должны быть представлены заинтересованными лицами при подаче заявления в антимонопольный орган. </w:t>
      </w:r>
    </w:p>
    <w:p w:rsidR="00000000" w:rsidDel="00000000" w:rsidP="00000000" w:rsidRDefault="00000000" w:rsidRPr="00000000" w14:paraId="00000069">
      <w:pPr>
        <w:spacing w:after="0" w:line="240" w:lineRule="auto"/>
        <w:ind w:left="-567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Изменения исключают необходимость проверки антимонопольным органом соблюдения установленного законодательством порядка внесения изменений в территориальные схемы теплоснабжения, водоснабжения, водоотведения в случае, если основанием для внесения изменений в концессионное соглашение является невозможность исполнения такого концессионного соглашения в связи с внесением изменений в указанные территориальные схемы.  </w:t>
      </w:r>
    </w:p>
    <w:p w:rsidR="00000000" w:rsidDel="00000000" w:rsidP="00000000" w:rsidRDefault="00000000" w:rsidRPr="00000000" w14:paraId="0000006A">
      <w:pPr>
        <w:spacing w:after="0" w:line="240" w:lineRule="auto"/>
        <w:ind w:left="-567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Кроме того, проект постановления предусматривает обязательность соответствия вносимых в концессионное соглашение изменений основаниям, указанным в заявлении. Несоблюдение указанного положения является основанием для отказа антимонопольным органом в согласовании внесения изменений в концессионное соглашение. </w:t>
      </w:r>
    </w:p>
    <w:p w:rsidR="00000000" w:rsidDel="00000000" w:rsidP="00000000" w:rsidRDefault="00000000" w:rsidRPr="00000000" w14:paraId="0000006B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2. Внесение изменений в Закон о концессиях в части распространения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особенностей заключения концессий в отношении объектов тепло-, водоснабжения, водоотведения на концессии в отношении объектов по обращению с ТКО (п. 12) – II кв 2019 г. (Минстрой, Минэк, ФАС)</w:t>
      </w:r>
    </w:p>
    <w:p w:rsidR="00000000" w:rsidDel="00000000" w:rsidP="00000000" w:rsidRDefault="00000000" w:rsidRPr="00000000" w14:paraId="0000006C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3. Внесение изменений в законодательство РФ в части установления порядка проведения торгов на право заключения концессии в электронной форме, за исключением проведения закрытого конкурса на право заключения концессии (п. 16) – IV кв 2019 г. (ФАС, Минэк)</w:t>
      </w:r>
    </w:p>
    <w:p w:rsidR="00000000" w:rsidDel="00000000" w:rsidP="00000000" w:rsidRDefault="00000000" w:rsidRPr="00000000" w14:paraId="0000006D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4. Внесение изменений в Закон о концессиях в части совершенствования инициативного порядка заключения КС. Указанные изменения предусматривают установление равного доступа заинтересованных лиц к заключению КС по инициативе потенциального инвестора, а также установление сроков и объема размещаемой информации на сайте torgi.gov.ru, срока принятия решения концедента о проведении конкурсных процедур в случае наличия заявок о готовности к участию в конкурсе на заключение концессий на условиях, предложенных потенциальным инвестором, от иных лиц.</w:t>
      </w:r>
    </w:p>
    <w:p w:rsidR="00000000" w:rsidDel="00000000" w:rsidP="00000000" w:rsidRDefault="00000000" w:rsidRPr="00000000" w14:paraId="0000006E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С докладом «Особенности регулирования сферы обращения с твердыми коммунальными отходами: инвестиционные программы, стандарты раскрытия информации» выступил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советник Управления регулирования в сфере жилищно-коммунального хозяйства ФАС России</w:t>
      </w:r>
      <w:r w:rsidDel="00000000" w:rsidR="00000000" w:rsidRPr="00000000">
        <w:rPr>
          <w:rFonts w:ascii="Arial Narrow" w:cs="Arial Narrow" w:eastAsia="Arial Narrow" w:hAnsi="Arial Narrow"/>
          <w:color w:val="d2aa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d2aa00"/>
          <w:sz w:val="24"/>
          <w:szCs w:val="24"/>
          <w:rtl w:val="0"/>
        </w:rPr>
        <w:t xml:space="preserve">Перфилова Е.В.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Спикер обратил внимание участников семинара на изменения, внесенные в Постановление Правительства Российской Федерации № 424 от 16.05.2016, в соответствии с которыми возможность утверждать инвестиционные программы появилась у хозяйствующих субъектов, которые только планируют осуществлять регулируемый вид деятельности.</w:t>
      </w:r>
    </w:p>
    <w:p w:rsidR="00000000" w:rsidDel="00000000" w:rsidP="00000000" w:rsidRDefault="00000000" w:rsidRPr="00000000" w14:paraId="00000070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Кроме того, поскольку не во всех субъектах Российской Федерации инвестиционные программы утверждаются органами регулирования тарифов, в законодательство РФ были внесены изменениями, в соответствии с которыми орган регулирования тарифов введен отдельной стороной в процесс согласования инвестиционной программы. То есть без получения положительного заключения органа регулирования инвестиционная программа не может быть утверждена.</w:t>
      </w:r>
    </w:p>
    <w:p w:rsidR="00000000" w:rsidDel="00000000" w:rsidP="00000000" w:rsidRDefault="00000000" w:rsidRPr="00000000" w14:paraId="00000071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В рамках освещения вопроса раскрытия информации в сфере обращения с ТКО докладчик сообщил, что в соответствии изменениями, внесенными в законодательство Российской Федерации, информация в области обращения с ТКО будет аккумулироваться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(далее – ФГИС ЕАИС). При этом за некорректное или несвоевременное размещение информации в ФГИС ЕАИС предусмотрена административная ответственность.</w:t>
      </w:r>
    </w:p>
    <w:p w:rsidR="00000000" w:rsidDel="00000000" w:rsidP="00000000" w:rsidRDefault="00000000" w:rsidRPr="00000000" w14:paraId="00000072">
      <w:pPr>
        <w:tabs>
          <w:tab w:val="left" w:pos="284"/>
        </w:tabs>
        <w:spacing w:after="0" w:line="240" w:lineRule="auto"/>
        <w:ind w:left="-567" w:right="0" w:firstLine="56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8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41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3" w:customStyle="1">
    <w:name w:val="Стиль3"/>
    <w:uiPriority w:val="99"/>
    <w:rsid w:val="00603620"/>
    <w:pPr>
      <w:numPr>
        <w:numId w:val="1"/>
      </w:numPr>
    </w:pPr>
  </w:style>
  <w:style w:type="paragraph" w:styleId="a3" w:customStyle="1">
    <w:name w:val="заг раздела"/>
    <w:basedOn w:val="a"/>
    <w:uiPriority w:val="99"/>
    <w:qFormat w:val="1"/>
    <w:rsid w:val="0074512E"/>
    <w:pPr>
      <w:widowControl w:val="0"/>
      <w:autoSpaceDE w:val="0"/>
      <w:autoSpaceDN w:val="0"/>
      <w:adjustRightInd w:val="0"/>
      <w:spacing w:after="240" w:line="140" w:lineRule="atLeast"/>
      <w:textAlignment w:val="center"/>
    </w:pPr>
    <w:rPr>
      <w:rFonts w:ascii="Trebuchet MS" w:cs="PTSans-CaptionBold" w:hAnsi="Trebuchet MS"/>
      <w:b w:val="1"/>
      <w:bCs w:val="1"/>
      <w:color w:val="28bebe"/>
      <w:sz w:val="42"/>
      <w:szCs w:val="42"/>
    </w:rPr>
  </w:style>
  <w:style w:type="character" w:styleId="a4" w:customStyle="1">
    <w:name w:val="Имя в тексте"/>
    <w:uiPriority w:val="99"/>
    <w:qFormat w:val="1"/>
    <w:rsid w:val="0074512E"/>
    <w:rPr>
      <w:i w:val="1"/>
      <w:iCs w:val="1"/>
      <w:color w:val="e6aa5a"/>
      <w:spacing w:val="0"/>
      <w:w w:val="95"/>
    </w:rPr>
  </w:style>
  <w:style w:type="paragraph" w:styleId="a5" w:customStyle="1">
    <w:name w:val="Текст основной"/>
    <w:basedOn w:val="a"/>
    <w:qFormat w:val="1"/>
    <w:rsid w:val="0074512E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Trebuchet MS" w:cs="PTSans-Regular" w:hAnsi="Trebuchet MS"/>
      <w:color w:val="000000" w:themeColor="text1"/>
      <w:spacing w:val="8"/>
      <w:sz w:val="18"/>
      <w:szCs w:val="18"/>
    </w:rPr>
  </w:style>
  <w:style w:type="paragraph" w:styleId="a6">
    <w:name w:val="Normal (Web)"/>
    <w:basedOn w:val="a"/>
    <w:uiPriority w:val="99"/>
    <w:semiHidden w:val="1"/>
    <w:unhideWhenUsed w:val="1"/>
    <w:rsid w:val="00D731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 w:val="1"/>
    <w:rsid w:val="00D73114"/>
    <w:rPr>
      <w:i w:val="1"/>
      <w:iCs w:val="1"/>
    </w:rPr>
  </w:style>
  <w:style w:type="paragraph" w:styleId="a8">
    <w:name w:val="List Paragraph"/>
    <w:basedOn w:val="a"/>
    <w:uiPriority w:val="34"/>
    <w:qFormat w:val="1"/>
    <w:rsid w:val="00E015F0"/>
    <w:pPr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383699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383699"/>
  </w:style>
  <w:style w:type="paragraph" w:styleId="ab">
    <w:name w:val="footer"/>
    <w:basedOn w:val="a"/>
    <w:link w:val="ac"/>
    <w:uiPriority w:val="99"/>
    <w:unhideWhenUsed w:val="1"/>
    <w:rsid w:val="00383699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383699"/>
  </w:style>
  <w:style w:type="paragraph" w:styleId="ad">
    <w:name w:val="footnote text"/>
    <w:basedOn w:val="a"/>
    <w:link w:val="ae"/>
    <w:uiPriority w:val="99"/>
    <w:semiHidden w:val="1"/>
    <w:unhideWhenUsed w:val="1"/>
    <w:rsid w:val="00FB0067"/>
    <w:pPr>
      <w:spacing w:after="0" w:line="240" w:lineRule="auto"/>
    </w:pPr>
    <w:rPr>
      <w:sz w:val="20"/>
      <w:szCs w:val="20"/>
    </w:rPr>
  </w:style>
  <w:style w:type="character" w:styleId="ae" w:customStyle="1">
    <w:name w:val="Текст сноски Знак"/>
    <w:basedOn w:val="a0"/>
    <w:link w:val="ad"/>
    <w:uiPriority w:val="99"/>
    <w:semiHidden w:val="1"/>
    <w:rsid w:val="00FB0067"/>
    <w:rPr>
      <w:sz w:val="20"/>
      <w:szCs w:val="20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2750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275096"/>
    <w:rPr>
      <w:rFonts w:ascii="Segoe UI" w:cs="Segoe UI" w:hAnsi="Segoe UI"/>
      <w:sz w:val="18"/>
      <w:szCs w:val="18"/>
    </w:rPr>
  </w:style>
  <w:style w:type="character" w:styleId="af1">
    <w:name w:val="annotation reference"/>
    <w:basedOn w:val="a0"/>
    <w:uiPriority w:val="99"/>
    <w:semiHidden w:val="1"/>
    <w:unhideWhenUsed w:val="1"/>
    <w:rsid w:val="00024F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 w:val="1"/>
    <w:unhideWhenUsed w:val="1"/>
    <w:rsid w:val="00024F9C"/>
    <w:pPr>
      <w:spacing w:line="240" w:lineRule="auto"/>
    </w:pPr>
    <w:rPr>
      <w:sz w:val="20"/>
      <w:szCs w:val="20"/>
    </w:rPr>
  </w:style>
  <w:style w:type="character" w:styleId="af3" w:customStyle="1">
    <w:name w:val="Текст примечания Знак"/>
    <w:basedOn w:val="a0"/>
    <w:link w:val="af2"/>
    <w:uiPriority w:val="99"/>
    <w:semiHidden w:val="1"/>
    <w:rsid w:val="00024F9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 w:val="1"/>
    <w:unhideWhenUsed w:val="1"/>
    <w:rsid w:val="00024F9C"/>
    <w:rPr>
      <w:b w:val="1"/>
      <w:bCs w:val="1"/>
    </w:rPr>
  </w:style>
  <w:style w:type="character" w:styleId="af5" w:customStyle="1">
    <w:name w:val="Тема примечания Знак"/>
    <w:basedOn w:val="af3"/>
    <w:link w:val="af4"/>
    <w:uiPriority w:val="99"/>
    <w:semiHidden w:val="1"/>
    <w:rsid w:val="00024F9C"/>
    <w:rPr>
      <w:b w:val="1"/>
      <w:bCs w:val="1"/>
      <w:sz w:val="20"/>
      <w:szCs w:val="20"/>
    </w:rPr>
  </w:style>
  <w:style w:type="paragraph" w:styleId="af6">
    <w:name w:val="Revision"/>
    <w:hidden w:val="1"/>
    <w:uiPriority w:val="99"/>
    <w:semiHidden w:val="1"/>
    <w:rsid w:val="0013200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2018-12-29T14:32:00Z</dcterms:created>
  <dc:creator>Windows User</dc:creator>
</cp:coreProperties>
</file>